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C7D6" w14:textId="5EADCE33" w:rsidR="00594187" w:rsidRPr="003D4046" w:rsidRDefault="00582C79" w:rsidP="003D4046">
      <w:pPr>
        <w:shd w:val="clear" w:color="auto" w:fill="FBD4B4" w:themeFill="accent6" w:themeFillTint="66"/>
        <w:jc w:val="center"/>
        <w:rPr>
          <w:rFonts w:ascii="Cavolini" w:eastAsia="Chalkboard SE Bold" w:hAnsi="Cavolini" w:cs="Cavolini"/>
          <w:b/>
          <w:bCs/>
          <w:color w:val="7030A0"/>
          <w:sz w:val="32"/>
          <w:szCs w:val="32"/>
          <w:u w:val="single" w:color="222222"/>
        </w:rPr>
      </w:pPr>
      <w:r w:rsidRPr="003D4046">
        <w:rPr>
          <w:rFonts w:ascii="Cavolini" w:hAnsi="Cavolini" w:cs="Cavolini"/>
          <w:b/>
          <w:bCs/>
          <w:color w:val="7030A0"/>
          <w:sz w:val="32"/>
          <w:szCs w:val="32"/>
          <w:u w:val="single" w:color="222222"/>
        </w:rPr>
        <w:t>Informazioni sul tirocinio per studenti di T</w:t>
      </w:r>
      <w:r w:rsidR="00A64E5B" w:rsidRPr="003D4046">
        <w:rPr>
          <w:rFonts w:ascii="Cavolini" w:hAnsi="Cavolini" w:cs="Cavolini"/>
          <w:b/>
          <w:bCs/>
          <w:color w:val="7030A0"/>
          <w:sz w:val="32"/>
          <w:szCs w:val="32"/>
          <w:u w:val="single" w:color="222222"/>
        </w:rPr>
        <w:t>I</w:t>
      </w:r>
      <w:r w:rsidRPr="003D4046">
        <w:rPr>
          <w:rFonts w:ascii="Cavolini" w:hAnsi="Cavolini" w:cs="Cavolini"/>
          <w:b/>
          <w:bCs/>
          <w:color w:val="7030A0"/>
          <w:sz w:val="32"/>
          <w:szCs w:val="32"/>
          <w:u w:val="single" w:color="222222"/>
        </w:rPr>
        <w:t xml:space="preserve"> </w:t>
      </w:r>
    </w:p>
    <w:p w14:paraId="72CA1D67" w14:textId="77777777" w:rsidR="00594187" w:rsidRPr="0007017B" w:rsidRDefault="00594187">
      <w:pPr>
        <w:shd w:val="clear" w:color="auto" w:fill="FFFFFF"/>
        <w:rPr>
          <w:rFonts w:ascii="Cavolini" w:eastAsia="Arial" w:hAnsi="Cavolini" w:cs="Cavolini"/>
          <w:color w:val="222222"/>
          <w:sz w:val="32"/>
          <w:szCs w:val="32"/>
          <w:u w:color="222222"/>
        </w:rPr>
      </w:pPr>
    </w:p>
    <w:p w14:paraId="4ED6EF41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sz w:val="18"/>
          <w:szCs w:val="18"/>
          <w:u w:color="222222"/>
        </w:rPr>
      </w:pPr>
    </w:p>
    <w:p w14:paraId="26A56DC0" w14:textId="77777777" w:rsidR="00594187" w:rsidRDefault="005941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</w:p>
    <w:p w14:paraId="33703020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Il </w:t>
      </w:r>
      <w:r>
        <w:rPr>
          <w:rFonts w:ascii="Arial" w:hAnsi="Arial"/>
          <w:b/>
          <w:bCs/>
          <w:color w:val="222222"/>
          <w:u w:color="222222"/>
        </w:rPr>
        <w:t>tirocinio</w:t>
      </w:r>
      <w:r>
        <w:rPr>
          <w:rFonts w:ascii="Arial" w:hAnsi="Arial"/>
          <w:color w:val="222222"/>
          <w:u w:color="222222"/>
        </w:rPr>
        <w:t xml:space="preserve"> (o </w:t>
      </w:r>
      <w:r>
        <w:rPr>
          <w:rFonts w:ascii="Arial" w:hAnsi="Arial"/>
          <w:b/>
          <w:bCs/>
          <w:color w:val="222222"/>
          <w:u w:color="222222"/>
        </w:rPr>
        <w:t>stage</w:t>
      </w:r>
      <w:r>
        <w:rPr>
          <w:rFonts w:ascii="Arial" w:hAnsi="Arial"/>
          <w:color w:val="222222"/>
          <w:u w:color="222222"/>
        </w:rPr>
        <w:t xml:space="preserve">) è un momento di avvicinamento ed esperienza diretta del mondo del lavoro (attraverso formazione e affiancamento), finalizzato alla formazione e </w:t>
      </w:r>
      <w:proofErr w:type="spellStart"/>
      <w:r>
        <w:rPr>
          <w:rFonts w:ascii="Arial" w:hAnsi="Arial"/>
          <w:color w:val="222222"/>
          <w:u w:color="222222"/>
        </w:rPr>
        <w:t>all</w:t>
      </w:r>
      <w:proofErr w:type="spellEnd"/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orientamento, per favorire le future scelte professionali e l’inserimento nel mondo del lavoro.</w:t>
      </w:r>
    </w:p>
    <w:p w14:paraId="71F2F923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>Prevede 3 soggetti attivi: tirocinante, soggetto promotore (università, nella figura del tutor universitario) e soggetto ospitante (azienda/ente nella figura del tutor aziendale)</w:t>
      </w:r>
    </w:p>
    <w:p w14:paraId="114CB8CA" w14:textId="77777777" w:rsidR="00594187" w:rsidRDefault="005941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</w:p>
    <w:p w14:paraId="4759E7A3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Helvetica" w:hAnsi="Helvetica" w:cs="Helvetica"/>
          <w:color w:val="222222"/>
        </w:rPr>
      </w:pPr>
      <w:r>
        <w:rPr>
          <w:rFonts w:ascii="Arial" w:hAnsi="Arial"/>
          <w:color w:val="222222"/>
          <w:u w:color="222222"/>
        </w:rPr>
        <w:t xml:space="preserve">Informazioni a partire da questa pagina: </w:t>
      </w:r>
      <w:r>
        <w:rPr>
          <w:rFonts w:ascii="Helvetica" w:hAnsi="Helvetica"/>
          <w:color w:val="222222"/>
        </w:rPr>
        <w:t> </w:t>
      </w:r>
      <w:hyperlink r:id="rId7" w:history="1">
        <w:r w:rsidR="00594187">
          <w:rPr>
            <w:rStyle w:val="Hyperlink0"/>
            <w:rFonts w:ascii="Helvetica" w:hAnsi="Helvetica"/>
          </w:rPr>
          <w:t>https://www.unive.it/pag/15768/</w:t>
        </w:r>
      </w:hyperlink>
      <w:r>
        <w:rPr>
          <w:rFonts w:ascii="Helvetica" w:hAnsi="Helvetica"/>
          <w:color w:val="222222"/>
        </w:rPr>
        <w:t> del DSAAM</w:t>
      </w:r>
    </w:p>
    <w:p w14:paraId="5F183247" w14:textId="77777777" w:rsidR="00594187" w:rsidRDefault="005941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</w:p>
    <w:p w14:paraId="3E4DB45F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Per le lauree magistrali ha un peso di 6 cfu (che derivano da un minimo di 150 ore)</w:t>
      </w:r>
      <w:r>
        <w:rPr>
          <w:rFonts w:ascii="Arial" w:hAnsi="Arial"/>
          <w:color w:val="222222"/>
          <w:u w:color="222222"/>
        </w:rPr>
        <w:t>.</w:t>
      </w:r>
    </w:p>
    <w:p w14:paraId="460D6D8A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0C30167C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Ci sono 2 modi per effettuare il tirocinio: </w:t>
      </w:r>
    </w:p>
    <w:p w14:paraId="2BDB543C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45C02EF3" w14:textId="77777777" w:rsidR="00B71B01" w:rsidRPr="00B71B01" w:rsidRDefault="00582C79" w:rsidP="00B71B01">
      <w:pPr>
        <w:numPr>
          <w:ilvl w:val="0"/>
          <w:numId w:val="2"/>
        </w:numPr>
        <w:shd w:val="clear" w:color="auto" w:fill="FFFFFF"/>
      </w:pPr>
      <w:r>
        <w:rPr>
          <w:rFonts w:ascii="Arial" w:hAnsi="Arial"/>
          <w:b/>
          <w:bCs/>
          <w:color w:val="222222"/>
          <w:u w:color="222222"/>
        </w:rPr>
        <w:t>Il tirocinio propriamente detto</w:t>
      </w:r>
      <w:r>
        <w:rPr>
          <w:rFonts w:ascii="Arial" w:hAnsi="Arial"/>
          <w:color w:val="222222"/>
          <w:u w:color="222222"/>
        </w:rPr>
        <w:t xml:space="preserve"> (o </w:t>
      </w:r>
      <w:r>
        <w:rPr>
          <w:rFonts w:ascii="Arial" w:hAnsi="Arial"/>
          <w:b/>
          <w:bCs/>
          <w:color w:val="222222"/>
          <w:u w:color="222222"/>
        </w:rPr>
        <w:t>stage</w:t>
      </w:r>
      <w:r>
        <w:rPr>
          <w:rFonts w:ascii="Arial" w:hAnsi="Arial"/>
          <w:color w:val="222222"/>
          <w:u w:color="222222"/>
        </w:rPr>
        <w:t>) si può svolgere presso una azienda/ente che abbia firmato una convenzione con CF: la convenzione richiede un procedimento molto semplice e permette all’azienda/ente di pubblicare la propria proposta di tirocinio sul sito di Ca’ Foscari (area riservata studenti).</w:t>
      </w:r>
    </w:p>
    <w:p w14:paraId="63146E17" w14:textId="3D584941" w:rsidR="003D4046" w:rsidRDefault="00582C79" w:rsidP="00B71B01">
      <w:pPr>
        <w:shd w:val="clear" w:color="auto" w:fill="FFFFFF"/>
        <w:ind w:left="316"/>
      </w:pPr>
      <w:r>
        <w:rPr>
          <w:rFonts w:ascii="Arial" w:eastAsia="Arial" w:hAnsi="Arial" w:cs="Arial"/>
          <w:color w:val="222222"/>
          <w:u w:color="222222"/>
        </w:rPr>
        <w:t xml:space="preserve"> 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Individuato un tirocinio e contattato il soggetto ospitante, lo studente/essa prepara il  progetto formativo (modalità e obiettivi del tirocinio) concordandolo con il tutor aziendale. Il progetto viene firmato da soggetto ospitante, tutor universitario e tirocinante. Solo dopo la firma è possibile iniziare lo stage.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 xml:space="preserve">Al termine del tirocinio, il rappresentante dell’ente ospitante compila un modulo (alla fine del progetto formativo) che contiene una valutazione dello stage e una dichiarazione delle date di </w:t>
      </w:r>
      <w:r w:rsidR="00277B06">
        <w:rPr>
          <w:rFonts w:ascii="Arial" w:hAnsi="Arial"/>
          <w:color w:val="222222"/>
          <w:u w:color="222222"/>
        </w:rPr>
        <w:t>inizio</w:t>
      </w:r>
      <w:r>
        <w:rPr>
          <w:rFonts w:ascii="Arial" w:hAnsi="Arial"/>
          <w:color w:val="222222"/>
          <w:u w:color="222222"/>
        </w:rPr>
        <w:t xml:space="preserve"> e fine e il totale delle ore (sulla base del registro presenze).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Basandosi su questa dichiarazione, il referente procede al riconoscimento dei 6 cfu di tirocinio. Ottenuta la firma e il riconoscimento del referente, il tirocinante invia tutta la documentazione al Campus linguistico (</w:t>
      </w:r>
      <w:hyperlink r:id="rId8" w:history="1">
        <w:r w:rsidR="00594187">
          <w:rPr>
            <w:rStyle w:val="Hyperlink1"/>
          </w:rPr>
          <w:t>stage.campuslingue@unive.it</w:t>
        </w:r>
      </w:hyperlink>
      <w:r>
        <w:rPr>
          <w:rFonts w:ascii="Arial" w:hAnsi="Arial"/>
          <w:color w:val="222222"/>
          <w:u w:color="222222"/>
        </w:rPr>
        <w:t xml:space="preserve"> ).    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eastAsia="Arial" w:hAnsi="Arial" w:cs="Arial"/>
          <w:color w:val="222222"/>
          <w:u w:color="222222"/>
        </w:rPr>
        <w:br/>
      </w:r>
      <w:r w:rsidRPr="003D4046">
        <w:rPr>
          <w:rFonts w:ascii="Chalkboard SE Regular" w:hAnsi="Chalkboard SE Regular"/>
          <w:b/>
          <w:bCs/>
          <w:color w:val="7030A0"/>
          <w:sz w:val="28"/>
          <w:szCs w:val="28"/>
          <w:u w:color="222222"/>
          <w:shd w:val="clear" w:color="auto" w:fill="FBD4B4" w:themeFill="accent6" w:themeFillTint="66"/>
        </w:rPr>
        <w:t>Che tipo di tirocini svolgono generalmente i nostri studenti?</w:t>
      </w:r>
      <w:r w:rsidRPr="003D4046">
        <w:rPr>
          <w:rFonts w:ascii="Chalkboard SE Regular" w:hAnsi="Chalkboard SE Regular"/>
          <w:color w:val="222222"/>
          <w:sz w:val="28"/>
          <w:szCs w:val="28"/>
          <w:u w:color="222222"/>
          <w:shd w:val="clear" w:color="auto" w:fill="FBD4B4" w:themeFill="accent6" w:themeFillTint="66"/>
        </w:rPr>
        <w:t xml:space="preserve"> </w:t>
      </w:r>
      <w:r w:rsidRPr="003D4046">
        <w:rPr>
          <w:rFonts w:ascii="Arial" w:eastAsia="Arial" w:hAnsi="Arial" w:cs="Arial"/>
          <w:color w:val="222222"/>
          <w:u w:color="222222"/>
          <w:shd w:val="clear" w:color="auto" w:fill="FBD4B4" w:themeFill="accent6" w:themeFillTint="66"/>
        </w:rPr>
        <w:br/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aziende (ufficio commerciale in Italia o sede in Cina)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traduzione di siti web o di altro materiale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alberghi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agenzie traduzione</w:t>
      </w:r>
      <w:r w:rsidR="00641FDC">
        <w:rPr>
          <w:rFonts w:ascii="Arial" w:hAnsi="Arial"/>
          <w:color w:val="222222"/>
          <w:u w:color="222222"/>
        </w:rPr>
        <w:t xml:space="preserve"> (non necessariamente per la lingua cinese)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ULSS, Questura, Uffici all’estero della Regione Veneto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plessi scolastici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Istituto Confucio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scuole di lingue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- Istituti o collegi (che ospitano studenti cinesi)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 xml:space="preserve">- biblioteche </w:t>
      </w:r>
      <w:r w:rsidR="003D4046">
        <w:rPr>
          <w:rFonts w:ascii="Arial" w:hAnsi="Arial"/>
          <w:color w:val="222222"/>
          <w:u w:color="222222"/>
        </w:rPr>
        <w:br/>
        <w:t>- festival cinematografici</w:t>
      </w:r>
    </w:p>
    <w:p w14:paraId="183B5CB0" w14:textId="4E8332D6" w:rsidR="00594187" w:rsidRDefault="00582C79" w:rsidP="003D4046">
      <w:pPr>
        <w:shd w:val="clear" w:color="auto" w:fill="FFFFFF"/>
        <w:ind w:left="316"/>
      </w:pPr>
      <w:r w:rsidRPr="003D4046">
        <w:rPr>
          <w:rFonts w:ascii="Arial" w:hAnsi="Arial"/>
          <w:color w:val="222222"/>
          <w:u w:color="222222"/>
        </w:rPr>
        <w:t>- Ca’ Foscari a volte si propone come ente ospitante (Ufficio internazionale e Suzhou Office</w:t>
      </w:r>
      <w:r w:rsidR="00641FDC">
        <w:rPr>
          <w:rFonts w:ascii="Arial" w:hAnsi="Arial"/>
          <w:color w:val="222222"/>
          <w:u w:color="222222"/>
        </w:rPr>
        <w:t>, che generalmente ospita studenti cinesi</w:t>
      </w:r>
      <w:r w:rsidRPr="003D4046">
        <w:rPr>
          <w:rFonts w:ascii="Arial" w:hAnsi="Arial"/>
          <w:color w:val="222222"/>
          <w:u w:color="222222"/>
        </w:rPr>
        <w:t>).</w:t>
      </w:r>
      <w:r w:rsidRPr="003D4046">
        <w:rPr>
          <w:rFonts w:ascii="Arial" w:eastAsia="Arial" w:hAnsi="Arial" w:cs="Arial"/>
          <w:color w:val="222222"/>
          <w:u w:color="222222"/>
        </w:rPr>
        <w:br/>
      </w:r>
      <w:r w:rsidRPr="003D4046">
        <w:rPr>
          <w:rFonts w:ascii="Arial" w:hAnsi="Arial"/>
          <w:color w:val="222222"/>
          <w:u w:color="222222"/>
        </w:rPr>
        <w:lastRenderedPageBreak/>
        <w:t xml:space="preserve">- negozi con clientela principalmente straniera (studenti stranieri) </w:t>
      </w:r>
      <w:r w:rsidRPr="003D4046">
        <w:rPr>
          <w:rFonts w:ascii="Arial" w:eastAsia="Arial" w:hAnsi="Arial" w:cs="Arial"/>
          <w:color w:val="222222"/>
          <w:u w:color="222222"/>
        </w:rPr>
        <w:br/>
      </w:r>
    </w:p>
    <w:p w14:paraId="371E7E76" w14:textId="6E374ED8" w:rsidR="00011F96" w:rsidRPr="00011F96" w:rsidRDefault="00011F96" w:rsidP="003D4046">
      <w:pPr>
        <w:shd w:val="clear" w:color="auto" w:fill="FFFFFF"/>
        <w:ind w:left="316"/>
        <w:rPr>
          <w:rFonts w:ascii="Arial" w:hAnsi="Arial"/>
          <w:color w:val="222222"/>
          <w:u w:color="222222"/>
        </w:rPr>
      </w:pPr>
      <w:r w:rsidRPr="00011F96">
        <w:rPr>
          <w:rFonts w:ascii="Arial" w:hAnsi="Arial"/>
          <w:color w:val="222222"/>
          <w:u w:color="222222"/>
        </w:rPr>
        <w:t xml:space="preserve">NB: è </w:t>
      </w:r>
      <w:r>
        <w:rPr>
          <w:rFonts w:ascii="Arial" w:hAnsi="Arial"/>
          <w:color w:val="222222"/>
          <w:u w:color="222222"/>
        </w:rPr>
        <w:t>anche possibile svolgere il tirocinio presso la UE (Commissione Europea, Parlamento europeo, ecc.): gli interessati possono chiedermi materiale informativo</w:t>
      </w:r>
    </w:p>
    <w:p w14:paraId="4A0FDFCC" w14:textId="77777777" w:rsidR="00011F96" w:rsidRDefault="00011F96" w:rsidP="003D4046">
      <w:pPr>
        <w:shd w:val="clear" w:color="auto" w:fill="FFFFFF"/>
        <w:ind w:left="316"/>
      </w:pPr>
    </w:p>
    <w:p w14:paraId="4D94369E" w14:textId="77777777" w:rsidR="00B71B01" w:rsidRDefault="00582C79" w:rsidP="00B71B01">
      <w:pPr>
        <w:shd w:val="clear" w:color="auto" w:fill="FFFFFF"/>
        <w:ind w:left="316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Lo studente/essa può trovare autonomamente </w:t>
      </w:r>
      <w:r w:rsidR="00277B06">
        <w:rPr>
          <w:rFonts w:ascii="Arial" w:hAnsi="Arial"/>
          <w:color w:val="222222"/>
          <w:u w:color="222222"/>
        </w:rPr>
        <w:t>attraverso</w:t>
      </w:r>
      <w:r>
        <w:rPr>
          <w:rFonts w:ascii="Arial" w:hAnsi="Arial"/>
          <w:color w:val="222222"/>
          <w:u w:color="222222"/>
        </w:rPr>
        <w:t xml:space="preserve"> propri contatti l’azienda/ente presso cui svolgere lo stage, proponendogli di stipulare una convenzione di Ca’ Foscari.</w:t>
      </w:r>
    </w:p>
    <w:p w14:paraId="05F160AF" w14:textId="77777777" w:rsidR="00B71B01" w:rsidRDefault="00B71B01" w:rsidP="00B71B01">
      <w:pPr>
        <w:shd w:val="clear" w:color="auto" w:fill="FFFFFF"/>
        <w:ind w:left="316"/>
        <w:rPr>
          <w:rFonts w:ascii="Arial" w:eastAsia="Arial" w:hAnsi="Arial" w:cs="Arial"/>
          <w:color w:val="222222"/>
          <w:u w:color="222222"/>
        </w:rPr>
      </w:pPr>
    </w:p>
    <w:p w14:paraId="385F8C14" w14:textId="066E16E9" w:rsidR="00594187" w:rsidRPr="00B71B01" w:rsidRDefault="00B71B01" w:rsidP="00B71B01">
      <w:pPr>
        <w:numPr>
          <w:ilvl w:val="0"/>
          <w:numId w:val="2"/>
        </w:numPr>
        <w:shd w:val="clear" w:color="auto" w:fill="FFFFFF"/>
      </w:pPr>
      <w:r w:rsidRPr="00B71B01">
        <w:rPr>
          <w:rFonts w:ascii="Arial" w:hAnsi="Arial"/>
          <w:color w:val="222222"/>
          <w:u w:color="222222"/>
        </w:rPr>
        <w:t xml:space="preserve">In alternativa è anche possibile svolgere uno stage senza convenzione con Ca’ Foscari, previo parere del referente stage del proprio corso di laurea. In questo caso non si parla di tirocinio/stage, ma di </w:t>
      </w:r>
      <w:r w:rsidRPr="00B71B01">
        <w:rPr>
          <w:rFonts w:ascii="Arial" w:hAnsi="Arial"/>
          <w:b/>
          <w:bCs/>
          <w:color w:val="222222"/>
          <w:u w:color="222222"/>
        </w:rPr>
        <w:t>attività sostitutiva di tirocinio.</w:t>
      </w:r>
      <w:r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 xml:space="preserve">Al termine del periodo di attività si dovrà far avere al referente: 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 xml:space="preserve">a) il modulo di riconoscimento di attività sostitutiva (lo trovate alla mia pagina personale, allegato all’avviso sui tirocini) 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>b) un documento su carta intestata della ditta e firmato dal tutor aziendale dove vengono indicati: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>- date di inizio e fine del periodo di attività sostitutiva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>- durata totale espressa in ore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>- mansioni svolte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hAnsi="Arial"/>
          <w:color w:val="222222"/>
          <w:u w:color="222222"/>
        </w:rPr>
        <w:t>Il referente sulla base di questo documento effettuerà il riconoscimento crediti</w:t>
      </w:r>
      <w:r w:rsidR="00FA59E4" w:rsidRPr="00B71B01">
        <w:rPr>
          <w:rFonts w:ascii="Arial" w:hAnsi="Arial"/>
          <w:color w:val="222222"/>
          <w:u w:color="222222"/>
        </w:rPr>
        <w:t xml:space="preserve">. </w:t>
      </w:r>
      <w:r w:rsidR="00FA59E4" w:rsidRPr="00B71B01">
        <w:rPr>
          <w:rFonts w:ascii="Arial" w:hAnsi="Arial"/>
          <w:color w:val="222222"/>
          <w:u w:color="222222"/>
        </w:rPr>
        <w:br/>
        <w:t xml:space="preserve">Poi verrà </w:t>
      </w:r>
      <w:r w:rsidR="00582C79" w:rsidRPr="00B71B01">
        <w:rPr>
          <w:rFonts w:ascii="Arial" w:hAnsi="Arial"/>
          <w:color w:val="222222"/>
          <w:u w:color="222222"/>
        </w:rPr>
        <w:t>invi</w:t>
      </w:r>
      <w:r w:rsidR="00FA59E4" w:rsidRPr="00B71B01">
        <w:rPr>
          <w:rFonts w:ascii="Arial" w:hAnsi="Arial"/>
          <w:color w:val="222222"/>
          <w:u w:color="222222"/>
        </w:rPr>
        <w:t>ato</w:t>
      </w:r>
      <w:r w:rsidR="00582C79" w:rsidRPr="00B71B01">
        <w:rPr>
          <w:rFonts w:ascii="Arial" w:hAnsi="Arial"/>
          <w:color w:val="222222"/>
          <w:u w:color="222222"/>
        </w:rPr>
        <w:t xml:space="preserve"> il documento di riconoscimento al Campus Linguistico per l’inserimento in carriera.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Chalkboard SE Regular" w:hAnsi="Chalkboard SE Regular"/>
          <w:color w:val="222222"/>
          <w:sz w:val="28"/>
          <w:szCs w:val="28"/>
          <w:u w:color="222222"/>
        </w:rPr>
        <w:t>NB:</w:t>
      </w:r>
      <w:r w:rsidR="00582C79" w:rsidRPr="00B71B01">
        <w:rPr>
          <w:rFonts w:ascii="Arial" w:hAnsi="Arial"/>
          <w:color w:val="222222"/>
          <w:u w:color="222222"/>
        </w:rPr>
        <w:t xml:space="preserve"> Possono essere sommate e riconosciute insieme attività diverse, se insieme arrivano a totalizzare almeno 150 ore. I 6 cfu di tirocinio devono essere riconosciuti tutti in una volta, </w:t>
      </w:r>
      <w:r w:rsidR="00641FDC">
        <w:rPr>
          <w:rFonts w:ascii="Arial" w:hAnsi="Arial"/>
          <w:color w:val="222222"/>
          <w:u w:color="222222"/>
        </w:rPr>
        <w:t>quando verranno</w:t>
      </w:r>
      <w:r w:rsidR="00582C79" w:rsidRPr="00B71B01">
        <w:rPr>
          <w:rFonts w:ascii="Arial" w:hAnsi="Arial"/>
          <w:color w:val="222222"/>
          <w:u w:color="222222"/>
        </w:rPr>
        <w:t xml:space="preserve"> raggiunte le 150 ore. 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  <w:r w:rsidR="00582C79" w:rsidRPr="00B71B01">
        <w:rPr>
          <w:rFonts w:ascii="Chalkboard SE Regular" w:hAnsi="Chalkboard SE Regular"/>
          <w:color w:val="222222"/>
          <w:sz w:val="28"/>
          <w:szCs w:val="28"/>
          <w:u w:color="222222"/>
        </w:rPr>
        <w:t xml:space="preserve">NB: </w:t>
      </w:r>
      <w:r w:rsidR="00582C79" w:rsidRPr="00B71B01">
        <w:rPr>
          <w:rFonts w:ascii="Arial" w:hAnsi="Arial"/>
          <w:color w:val="222222"/>
          <w:u w:color="222222"/>
        </w:rPr>
        <w:t>Il Tirocinio prevede un’assicurazione ed ha il massimo dell’ufficialità. L’opzione 1 è quindi preferibile, per lo studente, ma anche per l’università.</w:t>
      </w:r>
      <w:r w:rsidR="00582C79" w:rsidRPr="00B71B01">
        <w:rPr>
          <w:rFonts w:ascii="Arial" w:eastAsia="Arial" w:hAnsi="Arial" w:cs="Arial"/>
          <w:color w:val="222222"/>
          <w:u w:color="222222"/>
        </w:rPr>
        <w:br/>
      </w:r>
    </w:p>
    <w:p w14:paraId="1AE1DDF1" w14:textId="77777777" w:rsidR="003D4046" w:rsidRDefault="003D4046" w:rsidP="003D4046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0872C0A0" w14:textId="79F3D93C" w:rsidR="00594187" w:rsidRDefault="00582C79" w:rsidP="003D4046">
      <w:pPr>
        <w:shd w:val="clear" w:color="auto" w:fill="FBD4B4" w:themeFill="accent6" w:themeFillTint="66"/>
        <w:rPr>
          <w:rFonts w:ascii="Chalkboard SE Bold" w:eastAsia="Chalkboard SE Bold" w:hAnsi="Chalkboard SE Bold" w:cs="Chalkboard SE Bold"/>
          <w:color w:val="222222"/>
          <w:sz w:val="28"/>
          <w:szCs w:val="28"/>
          <w:u w:color="222222"/>
        </w:rPr>
      </w:pPr>
      <w:r w:rsidRPr="003D4046">
        <w:rPr>
          <w:rFonts w:ascii="Chalkboard SE Regular" w:hAnsi="Chalkboard SE Regular"/>
          <w:b/>
          <w:bCs/>
          <w:color w:val="7030A0"/>
          <w:sz w:val="28"/>
          <w:szCs w:val="28"/>
          <w:u w:color="222222"/>
        </w:rPr>
        <w:t>Quali attività possono essere riconosciute come sostitutive di tirocinio?</w:t>
      </w:r>
    </w:p>
    <w:p w14:paraId="35547AF0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04FD279A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  <w:shd w:val="clear" w:color="auto" w:fill="F79646"/>
        </w:rPr>
      </w:pPr>
      <w:r>
        <w:rPr>
          <w:rFonts w:ascii="Arial" w:hAnsi="Arial"/>
          <w:color w:val="222222"/>
          <w:u w:color="222222"/>
        </w:rPr>
        <w:t>(Cfr. “Linee guida per lo svolgimento dei tirocini”, Ca’ Foscari, 2019)</w:t>
      </w:r>
    </w:p>
    <w:p w14:paraId="7EE4ED53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2F7173B4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Possono essere riconosciute, in luogo del tirocinio curriculare, </w:t>
      </w:r>
      <w:r>
        <w:rPr>
          <w:rFonts w:ascii="Arial" w:hAnsi="Arial"/>
          <w:color w:val="222222"/>
          <w:u w:val="single" w:color="222222"/>
        </w:rPr>
        <w:t>abilità maturate in attività lavorative/professionali o altre attività di particolare valenza formativa</w:t>
      </w:r>
      <w:r>
        <w:rPr>
          <w:rFonts w:ascii="Arial" w:hAnsi="Arial"/>
          <w:color w:val="222222"/>
          <w:u w:color="222222"/>
        </w:rPr>
        <w:t>, la cui</w:t>
      </w:r>
    </w:p>
    <w:p w14:paraId="2E707F42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>coerenza con gli obiettivi formativi del Corso di Studio deve essere valutata dal Collegio Didattico o stabilita da decisioni generali degli organi di Ateneo:</w:t>
      </w:r>
    </w:p>
    <w:p w14:paraId="2CCEC9AA" w14:textId="77777777" w:rsidR="00594187" w:rsidRDefault="005941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</w:p>
    <w:p w14:paraId="141B4B90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attività lavorative/professionali;</w:t>
      </w:r>
    </w:p>
    <w:p w14:paraId="762E8DC1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collaborazioni studentesche e attività di tutorato;</w:t>
      </w:r>
    </w:p>
    <w:p w14:paraId="73011906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servizio civile;</w:t>
      </w:r>
    </w:p>
    <w:p w14:paraId="0C29FB63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attività/laboratori di didattica innovativa;</w:t>
      </w:r>
    </w:p>
    <w:p w14:paraId="419DB059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collaborazione con docenti per organizzazione convegni/mostre;</w:t>
      </w:r>
    </w:p>
    <w:p w14:paraId="598326B0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ruoli di livello direzionale, organizzativo e gestionale, che gli studenti ricoprono all'interno di associazioni studentesche e/o giovanili;</w:t>
      </w:r>
    </w:p>
    <w:p w14:paraId="17701E68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partecipazione in qualità di rappresentanti degli studenti nei principali organi istituzionali </w:t>
      </w:r>
      <w:proofErr w:type="spellStart"/>
      <w:r>
        <w:rPr>
          <w:rFonts w:ascii="Arial" w:hAnsi="Arial"/>
          <w:color w:val="222222"/>
          <w:u w:color="222222"/>
        </w:rPr>
        <w:t>dell</w:t>
      </w:r>
      <w:proofErr w:type="spellEnd"/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Ateneo, secondo quanto stabilito dalla Delibera n.36/2017 del SA del 12 Aprile 2017;</w:t>
      </w:r>
    </w:p>
    <w:p w14:paraId="434B47E9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3A127E1A" w14:textId="77777777" w:rsidR="00594187" w:rsidRDefault="00582C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Possono altresì venire riconosciute come sostitutive di tirocinio, le </w:t>
      </w:r>
      <w:r>
        <w:rPr>
          <w:rFonts w:ascii="Arial" w:hAnsi="Arial"/>
          <w:color w:val="222222"/>
          <w:u w:val="single" w:color="222222"/>
        </w:rPr>
        <w:t>attività di approfondi-mento pratico e/o applicativo delle conoscenze e competenze acquisite dagli studenti durante il percorso formativo</w:t>
      </w:r>
      <w:r>
        <w:rPr>
          <w:rFonts w:ascii="Arial" w:hAnsi="Arial"/>
          <w:color w:val="222222"/>
          <w:u w:color="222222"/>
        </w:rPr>
        <w:t>, quali:</w:t>
      </w:r>
    </w:p>
    <w:p w14:paraId="727C77B8" w14:textId="77777777" w:rsidR="00594187" w:rsidRDefault="005941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Arial" w:eastAsia="Arial" w:hAnsi="Arial" w:cs="Arial"/>
          <w:color w:val="222222"/>
          <w:u w:color="222222"/>
        </w:rPr>
      </w:pPr>
    </w:p>
    <w:p w14:paraId="2C09CA9A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attività laboratoriali, seminariali, convegnistiche, giornate di studio promosse dal </w:t>
      </w:r>
      <w:proofErr w:type="spellStart"/>
      <w:r>
        <w:rPr>
          <w:rFonts w:ascii="Arial" w:hAnsi="Arial"/>
          <w:color w:val="222222"/>
          <w:u w:color="222222"/>
        </w:rPr>
        <w:t>CdS</w:t>
      </w:r>
      <w:proofErr w:type="spellEnd"/>
      <w:r>
        <w:rPr>
          <w:rFonts w:ascii="Arial" w:hAnsi="Arial"/>
          <w:color w:val="222222"/>
          <w:u w:color="222222"/>
        </w:rPr>
        <w:t xml:space="preserve">, dal Dipartimento, </w:t>
      </w:r>
      <w:proofErr w:type="spellStart"/>
      <w:r>
        <w:rPr>
          <w:rFonts w:ascii="Arial" w:hAnsi="Arial"/>
          <w:color w:val="222222"/>
          <w:u w:color="222222"/>
        </w:rPr>
        <w:t>dall</w:t>
      </w:r>
      <w:proofErr w:type="spellEnd"/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Ateneo e/o dai docenti e preventivamente valutate e approvate dai Collegi Didattici; (il problema in questi casi è il numero di ore, non sempre sufficiente!)</w:t>
      </w:r>
      <w:r>
        <w:rPr>
          <w:rFonts w:ascii="Arial" w:eastAsia="Arial" w:hAnsi="Arial" w:cs="Arial"/>
          <w:color w:val="222222"/>
          <w:u w:color="222222"/>
        </w:rPr>
        <w:br/>
      </w:r>
      <w:r>
        <w:rPr>
          <w:rFonts w:ascii="Arial" w:hAnsi="Arial"/>
          <w:color w:val="222222"/>
          <w:u w:color="222222"/>
        </w:rPr>
        <w:t>vedi Active Learning Lab</w:t>
      </w:r>
    </w:p>
    <w:p w14:paraId="0EAE3A0F" w14:textId="41D7BD25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simulazioni e/o competizioni nazionali e internazionali inerenti </w:t>
      </w:r>
      <w:r w:rsidR="0065234D">
        <w:rPr>
          <w:rFonts w:ascii="Arial" w:hAnsi="Arial"/>
          <w:color w:val="222222"/>
          <w:u w:color="222222"/>
        </w:rPr>
        <w:t>al</w:t>
      </w:r>
      <w:r>
        <w:rPr>
          <w:rFonts w:ascii="Arial" w:hAnsi="Arial"/>
          <w:color w:val="222222"/>
          <w:u w:color="222222"/>
        </w:rPr>
        <w:t xml:space="preserve"> funzionamento delle principali Organizzazioni Internazionali;</w:t>
      </w:r>
    </w:p>
    <w:p w14:paraId="4CF60932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corsi di ricerca bibliografica;</w:t>
      </w:r>
    </w:p>
    <w:p w14:paraId="15CBA267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attività didattiche e/o di orientamento al lavoro sul campo, anche fuori sede universitaria, su progetti definiti presso enti convenzionati e/o in partnership con l</w:t>
      </w:r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 xml:space="preserve">Università </w:t>
      </w:r>
      <w:r>
        <w:rPr>
          <w:rFonts w:ascii="Arial" w:hAnsi="Arial"/>
          <w:color w:val="222222"/>
          <w:u w:color="222222"/>
          <w:lang w:val="pt-PT"/>
        </w:rPr>
        <w:t>e preventivamente</w:t>
      </w:r>
      <w:r>
        <w:rPr>
          <w:rFonts w:ascii="Arial" w:hAnsi="Arial"/>
          <w:color w:val="222222"/>
          <w:u w:color="222222"/>
        </w:rPr>
        <w:t xml:space="preserve"> valutate e approvate dai Collegi Didattici;</w:t>
      </w:r>
    </w:p>
    <w:p w14:paraId="4021F7B9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periodi di tirocinio presso enti e/o Organizzazioni Internazionali che non prevedano però la possibilità di stipulare la documentazione prevista per l</w:t>
      </w:r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avvio di tirocini;</w:t>
      </w:r>
    </w:p>
    <w:p w14:paraId="722957C9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periodi di formazione e di studio </w:t>
      </w:r>
      <w:proofErr w:type="spellStart"/>
      <w:r>
        <w:rPr>
          <w:rFonts w:ascii="Arial" w:hAnsi="Arial"/>
          <w:color w:val="222222"/>
          <w:u w:color="222222"/>
        </w:rPr>
        <w:t>all</w:t>
      </w:r>
      <w:proofErr w:type="spellEnd"/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estero inquadrati nel progetto Erasmus+ o inscritti entro diverse formule di collaborazione universitaria o di scambio a carattere internazionale (comunitario ed extracomunitario) che prevedano però l</w:t>
      </w:r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integrazione con effettive esperienze pratiche o con un tirocinio vero e proprio;</w:t>
      </w:r>
    </w:p>
    <w:p w14:paraId="3719A338" w14:textId="77777777" w:rsidR="00594187" w:rsidRDefault="00582C79">
      <w:pPr>
        <w:pStyle w:val="Didefault"/>
        <w:numPr>
          <w:ilvl w:val="0"/>
          <w:numId w:val="5"/>
        </w:numPr>
        <w:spacing w:before="0" w:line="240" w:lineRule="auto"/>
        <w:rPr>
          <w:rFonts w:ascii="Arial" w:hAnsi="Arial"/>
        </w:rPr>
      </w:pPr>
      <w:r>
        <w:rPr>
          <w:rFonts w:ascii="Arial" w:hAnsi="Arial"/>
          <w:color w:val="222222"/>
          <w:u w:color="222222"/>
        </w:rPr>
        <w:t xml:space="preserve"> esperienza di volontariato nazionale o internazionale previo accordo con l</w:t>
      </w:r>
      <w:r>
        <w:rPr>
          <w:rFonts w:ascii="Arial" w:hAnsi="Arial"/>
          <w:color w:val="222222"/>
          <w:u w:color="222222"/>
          <w:rtl/>
        </w:rPr>
        <w:t>’</w:t>
      </w:r>
      <w:r>
        <w:rPr>
          <w:rFonts w:ascii="Arial" w:hAnsi="Arial"/>
          <w:color w:val="222222"/>
          <w:u w:color="222222"/>
        </w:rPr>
        <w:t>Università e per attività coerenti con gli obiettivi formativi del Corso di Studio e con i risultati di apprendimento attesi.</w:t>
      </w:r>
    </w:p>
    <w:p w14:paraId="6D977614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6699DC31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2C39C051" w14:textId="4AA49796" w:rsidR="008F56E5" w:rsidRPr="008F56E5" w:rsidRDefault="008F56E5" w:rsidP="008F56E5">
      <w:pPr>
        <w:shd w:val="clear" w:color="auto" w:fill="FBD4B4" w:themeFill="accent6" w:themeFillTint="66"/>
        <w:rPr>
          <w:rFonts w:ascii="Chalkboard SE Regular" w:eastAsia="Chalkboard SE Regular" w:hAnsi="Chalkboard SE Regular" w:cs="Chalkboard SE Regular"/>
          <w:b/>
          <w:bCs/>
          <w:color w:val="7030A0"/>
          <w:sz w:val="28"/>
          <w:szCs w:val="28"/>
          <w:u w:color="222222"/>
        </w:rPr>
      </w:pPr>
      <w:r w:rsidRPr="008F56E5">
        <w:rPr>
          <w:rFonts w:ascii="Chalkboard SE Regular" w:eastAsia="Chalkboard SE Regular" w:hAnsi="Chalkboard SE Regular" w:cs="Chalkboard SE Regular"/>
          <w:b/>
          <w:bCs/>
          <w:color w:val="7030A0"/>
          <w:sz w:val="28"/>
          <w:szCs w:val="28"/>
          <w:u w:color="222222"/>
        </w:rPr>
        <w:t>Le pagine web di riferimento</w:t>
      </w:r>
    </w:p>
    <w:p w14:paraId="43EAB5B9" w14:textId="77777777" w:rsidR="008F56E5" w:rsidRDefault="008F56E5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37A1389D" w14:textId="77777777" w:rsidR="00594187" w:rsidRPr="00277B06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  <w:lang w:val="en-US"/>
        </w:rPr>
      </w:pPr>
      <w:r w:rsidRPr="00277B06">
        <w:rPr>
          <w:rFonts w:ascii="Arial" w:hAnsi="Arial"/>
          <w:b/>
          <w:bCs/>
          <w:color w:val="222222"/>
          <w:u w:color="222222"/>
          <w:lang w:val="en-US"/>
        </w:rPr>
        <w:t>Stage in Italia</w:t>
      </w:r>
      <w:r w:rsidRPr="00277B06">
        <w:rPr>
          <w:rFonts w:ascii="Arial" w:hAnsi="Arial"/>
          <w:color w:val="222222"/>
          <w:u w:color="222222"/>
          <w:lang w:val="en-US"/>
        </w:rPr>
        <w:t xml:space="preserve">  </w:t>
      </w:r>
      <w:hyperlink r:id="rId9" w:history="1">
        <w:r w:rsidR="00594187" w:rsidRPr="00277B06">
          <w:rPr>
            <w:rStyle w:val="Hyperlink0"/>
            <w:rFonts w:ascii="Arial" w:hAnsi="Arial"/>
            <w:lang w:val="en-US"/>
          </w:rPr>
          <w:t>https://www.unive.it/pag/7130/</w:t>
        </w:r>
      </w:hyperlink>
      <w:r w:rsidRPr="00277B06">
        <w:rPr>
          <w:rFonts w:ascii="Arial" w:hAnsi="Arial"/>
          <w:color w:val="222222"/>
          <w:u w:color="222222"/>
          <w:lang w:val="en-US"/>
        </w:rPr>
        <w:t xml:space="preserve"> </w:t>
      </w:r>
    </w:p>
    <w:p w14:paraId="3F05BFB1" w14:textId="77777777" w:rsidR="00594187" w:rsidRPr="00277B06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  <w:lang w:val="en-US"/>
        </w:rPr>
      </w:pPr>
    </w:p>
    <w:p w14:paraId="5A97CF47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Stage all’estero</w:t>
      </w:r>
      <w:r>
        <w:rPr>
          <w:rFonts w:ascii="Arial" w:hAnsi="Arial"/>
          <w:color w:val="222222"/>
          <w:u w:color="222222"/>
        </w:rPr>
        <w:t xml:space="preserve">  </w:t>
      </w:r>
      <w:hyperlink r:id="rId10" w:history="1">
        <w:r w:rsidR="00594187">
          <w:rPr>
            <w:rStyle w:val="Hyperlink0"/>
            <w:rFonts w:ascii="Arial" w:hAnsi="Arial"/>
          </w:rPr>
          <w:t>https://www.unive.it/pag/7194/</w:t>
        </w:r>
      </w:hyperlink>
      <w:r>
        <w:rPr>
          <w:rFonts w:ascii="Arial" w:hAnsi="Arial"/>
          <w:color w:val="222222"/>
          <w:u w:color="222222"/>
        </w:rPr>
        <w:t xml:space="preserve"> </w:t>
      </w:r>
    </w:p>
    <w:p w14:paraId="0CF7B8CD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5023C7BD" w14:textId="77777777" w:rsidR="00B71B01" w:rsidRDefault="00B71B01">
      <w:pPr>
        <w:shd w:val="clear" w:color="auto" w:fill="FFFFFF"/>
        <w:rPr>
          <w:rFonts w:ascii="Arial" w:hAnsi="Arial"/>
          <w:b/>
          <w:bCs/>
          <w:color w:val="222222"/>
          <w:u w:color="222222"/>
        </w:rPr>
      </w:pPr>
    </w:p>
    <w:p w14:paraId="518C832B" w14:textId="77777777" w:rsidR="00641FDC" w:rsidRDefault="00641FDC">
      <w:pPr>
        <w:shd w:val="clear" w:color="auto" w:fill="FFFFFF"/>
        <w:rPr>
          <w:rFonts w:ascii="Arial" w:hAnsi="Arial"/>
          <w:b/>
          <w:bCs/>
          <w:color w:val="222222"/>
          <w:u w:color="222222"/>
        </w:rPr>
      </w:pPr>
    </w:p>
    <w:p w14:paraId="52F5B061" w14:textId="77777777" w:rsidR="00641FDC" w:rsidRDefault="00641FDC">
      <w:pPr>
        <w:shd w:val="clear" w:color="auto" w:fill="FFFFFF"/>
        <w:rPr>
          <w:rFonts w:ascii="Arial" w:hAnsi="Arial"/>
          <w:b/>
          <w:bCs/>
          <w:color w:val="222222"/>
          <w:u w:color="222222"/>
        </w:rPr>
      </w:pPr>
    </w:p>
    <w:p w14:paraId="7CD82038" w14:textId="205FB0DF" w:rsidR="00641FDC" w:rsidRPr="00641FDC" w:rsidRDefault="00641FDC" w:rsidP="00641FDC">
      <w:pPr>
        <w:shd w:val="clear" w:color="auto" w:fill="FBD4B4" w:themeFill="accent6" w:themeFillTint="66"/>
        <w:rPr>
          <w:rFonts w:ascii="Chalkboard SE Regular" w:eastAsia="Chalkboard SE Regular" w:hAnsi="Chalkboard SE Regular" w:cs="Chalkboard SE Regular"/>
          <w:b/>
          <w:bCs/>
          <w:color w:val="7030A0"/>
          <w:sz w:val="28"/>
          <w:szCs w:val="28"/>
          <w:u w:color="222222"/>
        </w:rPr>
      </w:pPr>
      <w:r w:rsidRPr="00641FDC">
        <w:rPr>
          <w:rFonts w:ascii="Chalkboard SE Regular" w:eastAsia="Chalkboard SE Regular" w:hAnsi="Chalkboard SE Regular" w:cs="Chalkboard SE Regular"/>
          <w:b/>
          <w:bCs/>
          <w:color w:val="7030A0"/>
          <w:sz w:val="28"/>
          <w:szCs w:val="28"/>
          <w:u w:color="222222"/>
        </w:rPr>
        <w:t>Un po’ di chiarezza nella terminologia</w:t>
      </w:r>
    </w:p>
    <w:p w14:paraId="6365B68F" w14:textId="77777777" w:rsidR="00641FDC" w:rsidRDefault="00641FDC">
      <w:pPr>
        <w:shd w:val="clear" w:color="auto" w:fill="FFFFFF"/>
        <w:rPr>
          <w:rFonts w:ascii="Arial" w:hAnsi="Arial"/>
          <w:b/>
          <w:bCs/>
          <w:color w:val="222222"/>
          <w:u w:color="222222"/>
        </w:rPr>
      </w:pPr>
    </w:p>
    <w:p w14:paraId="16795A6E" w14:textId="388EC261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Tirocinio curriculare</w:t>
      </w:r>
      <w:r>
        <w:rPr>
          <w:rFonts w:ascii="Arial" w:hAnsi="Arial"/>
          <w:color w:val="222222"/>
          <w:u w:color="222222"/>
        </w:rPr>
        <w:t xml:space="preserve"> (incluso nei 120 cfu del percorso di laurea magistrale)</w:t>
      </w:r>
    </w:p>
    <w:p w14:paraId="488EEC27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2E0664DE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Tirocinio sovrannumerario</w:t>
      </w:r>
      <w:r>
        <w:rPr>
          <w:rFonts w:ascii="Arial" w:hAnsi="Arial"/>
          <w:color w:val="222222"/>
          <w:u w:color="222222"/>
        </w:rPr>
        <w:t xml:space="preserve"> (oltre a quello curriculare, prima della laurea)</w:t>
      </w:r>
    </w:p>
    <w:p w14:paraId="4658642D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4807EFC8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b/>
          <w:bCs/>
          <w:color w:val="222222"/>
          <w:u w:color="222222"/>
        </w:rPr>
        <w:t>Tirocinio extracurriculare</w:t>
      </w:r>
      <w:r>
        <w:rPr>
          <w:rFonts w:ascii="Arial" w:hAnsi="Arial"/>
          <w:color w:val="222222"/>
          <w:u w:color="222222"/>
        </w:rPr>
        <w:t xml:space="preserve"> (per neolaureati, da attivare entro 12 mesi dalla laurea)</w:t>
      </w:r>
    </w:p>
    <w:p w14:paraId="7386B8E6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12704951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7EEC4948" w14:textId="77777777" w:rsidR="00641FDC" w:rsidRDefault="00641FDC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78B96258" w14:textId="77777777" w:rsidR="00594187" w:rsidRPr="003D4046" w:rsidRDefault="00582C79" w:rsidP="003D4046">
      <w:pPr>
        <w:shd w:val="clear" w:color="auto" w:fill="FBD4B4" w:themeFill="accent6" w:themeFillTint="66"/>
        <w:rPr>
          <w:rFonts w:ascii="Chalkboard SE Regular" w:eastAsia="Chalkboard SE Regular" w:hAnsi="Chalkboard SE Regular" w:cs="Chalkboard SE Regular"/>
          <w:b/>
          <w:bCs/>
          <w:color w:val="7030A0"/>
          <w:sz w:val="28"/>
          <w:szCs w:val="28"/>
          <w:u w:color="222222"/>
        </w:rPr>
      </w:pPr>
      <w:r w:rsidRPr="003D4046">
        <w:rPr>
          <w:rFonts w:ascii="Chalkboard SE Regular" w:hAnsi="Chalkboard SE Regular"/>
          <w:b/>
          <w:bCs/>
          <w:color w:val="7030A0"/>
          <w:sz w:val="28"/>
          <w:szCs w:val="28"/>
          <w:u w:color="222222"/>
        </w:rPr>
        <w:t>Contatti</w:t>
      </w:r>
    </w:p>
    <w:p w14:paraId="7AFEB377" w14:textId="77777777" w:rsidR="00594187" w:rsidRDefault="00594187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1837D2D8" w14:textId="77777777" w:rsidR="00594187" w:rsidRDefault="00582C79">
      <w:pPr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hAnsi="Arial"/>
          <w:color w:val="222222"/>
          <w:u w:color="222222"/>
        </w:rPr>
        <w:t xml:space="preserve">curriculum cinese-inglese: prof. Federica Passi </w:t>
      </w:r>
      <w:hyperlink r:id="rId11" w:history="1">
        <w:r w:rsidR="00594187">
          <w:rPr>
            <w:rStyle w:val="Hyperlink0"/>
            <w:rFonts w:ascii="Arial" w:hAnsi="Arial"/>
          </w:rPr>
          <w:t>tirocini_ites@unive.it</w:t>
        </w:r>
      </w:hyperlink>
      <w:r>
        <w:rPr>
          <w:rFonts w:ascii="Arial" w:hAnsi="Arial"/>
          <w:color w:val="222222"/>
          <w:u w:color="222222"/>
        </w:rPr>
        <w:t xml:space="preserve"> (consultare avviso alla pagina web della docente)</w:t>
      </w:r>
    </w:p>
    <w:p w14:paraId="30A070A0" w14:textId="1E87AC8F" w:rsidR="00594187" w:rsidRDefault="00594187">
      <w:pPr>
        <w:shd w:val="clear" w:color="auto" w:fill="FFFFFF"/>
      </w:pPr>
    </w:p>
    <w:p w14:paraId="1C4C1F20" w14:textId="77777777" w:rsidR="00B71B01" w:rsidRDefault="00B71B01">
      <w:pPr>
        <w:shd w:val="clear" w:color="auto" w:fill="FFFFFF"/>
      </w:pPr>
    </w:p>
    <w:p w14:paraId="17AD716F" w14:textId="31E86623" w:rsidR="00B71B01" w:rsidRPr="00B71B01" w:rsidRDefault="00B71B01" w:rsidP="00B71B01">
      <w:pPr>
        <w:shd w:val="clear" w:color="auto" w:fill="FBD4B4" w:themeFill="accent6" w:themeFillTint="66"/>
        <w:rPr>
          <w:rFonts w:ascii="Chalkboard SE Regular" w:hAnsi="Chalkboard SE Regular"/>
          <w:b/>
          <w:bCs/>
          <w:color w:val="7030A0"/>
          <w:sz w:val="28"/>
          <w:szCs w:val="28"/>
          <w:u w:color="222222"/>
        </w:rPr>
      </w:pPr>
      <w:r w:rsidRPr="00B71B01">
        <w:rPr>
          <w:rFonts w:ascii="Chalkboard SE Regular" w:hAnsi="Chalkboard SE Regular"/>
          <w:b/>
          <w:bCs/>
          <w:color w:val="7030A0"/>
          <w:sz w:val="28"/>
          <w:szCs w:val="28"/>
          <w:u w:color="222222"/>
        </w:rPr>
        <w:t>Lo stage valutato da studenti e aziende</w:t>
      </w:r>
    </w:p>
    <w:p w14:paraId="2FA0AEFE" w14:textId="77777777" w:rsidR="00B71B01" w:rsidRPr="00B71B01" w:rsidRDefault="00B71B01">
      <w:pPr>
        <w:shd w:val="clear" w:color="auto" w:fill="FFFFFF"/>
        <w:rPr>
          <w:rFonts w:ascii="Arial" w:hAnsi="Arial"/>
          <w:color w:val="222222"/>
          <w:u w:color="222222"/>
        </w:rPr>
      </w:pPr>
    </w:p>
    <w:p w14:paraId="64F5774A" w14:textId="5324DFE2" w:rsidR="00B71B01" w:rsidRDefault="00B71B01">
      <w:pPr>
        <w:shd w:val="clear" w:color="auto" w:fill="FFFFFF"/>
        <w:rPr>
          <w:rFonts w:ascii="Arial" w:hAnsi="Arial"/>
          <w:color w:val="222222"/>
          <w:u w:color="222222"/>
        </w:rPr>
      </w:pPr>
      <w:hyperlink r:id="rId12" w:history="1">
        <w:r w:rsidRPr="00EF6712">
          <w:rPr>
            <w:rStyle w:val="Collegamentoipertestuale"/>
            <w:rFonts w:ascii="Arial" w:hAnsi="Arial"/>
          </w:rPr>
          <w:t>https://www.unive.it/web/it/10571/opinioni-sul-corso-e-occupazione</w:t>
        </w:r>
      </w:hyperlink>
    </w:p>
    <w:p w14:paraId="5EB1FAD5" w14:textId="77777777" w:rsidR="00B71B01" w:rsidRPr="00B71B01" w:rsidRDefault="00B71B01">
      <w:pPr>
        <w:shd w:val="clear" w:color="auto" w:fill="FFFFFF"/>
        <w:rPr>
          <w:rFonts w:ascii="Arial" w:hAnsi="Arial"/>
          <w:color w:val="222222"/>
          <w:u w:color="222222"/>
        </w:rPr>
      </w:pPr>
    </w:p>
    <w:sectPr w:rsidR="00B71B01" w:rsidRPr="00B71B01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CD02" w14:textId="77777777" w:rsidR="00AD68D5" w:rsidRDefault="00AD68D5">
      <w:r>
        <w:separator/>
      </w:r>
    </w:p>
  </w:endnote>
  <w:endnote w:type="continuationSeparator" w:id="0">
    <w:p w14:paraId="5E9C681F" w14:textId="77777777" w:rsidR="00AD68D5" w:rsidRDefault="00A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halkboard SE Bold">
    <w:altName w:val="Calibri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halkboard SE Regular">
    <w:altName w:val="Calibri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08C9" w14:textId="77777777" w:rsidR="00594187" w:rsidRDefault="0059418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86D8" w14:textId="77777777" w:rsidR="00AD68D5" w:rsidRDefault="00AD68D5">
      <w:r>
        <w:separator/>
      </w:r>
    </w:p>
  </w:footnote>
  <w:footnote w:type="continuationSeparator" w:id="0">
    <w:p w14:paraId="269FB8E7" w14:textId="77777777" w:rsidR="00AD68D5" w:rsidRDefault="00A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5D22" w14:textId="77777777" w:rsidR="00594187" w:rsidRDefault="0059418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5CC"/>
    <w:multiLevelType w:val="hybridMultilevel"/>
    <w:tmpl w:val="2DE2BFC4"/>
    <w:styleLink w:val="Conlettere"/>
    <w:lvl w:ilvl="0" w:tplc="702EF8A8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6F0A0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90CAE2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F4DF14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840744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F04F50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DC7C3A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A6EC3C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C2D88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4363D4"/>
    <w:multiLevelType w:val="hybridMultilevel"/>
    <w:tmpl w:val="44803F64"/>
    <w:numStyleLink w:val="Puntielenco"/>
  </w:abstractNum>
  <w:abstractNum w:abstractNumId="2" w15:restartNumberingAfterBreak="0">
    <w:nsid w:val="390D5FC7"/>
    <w:multiLevelType w:val="hybridMultilevel"/>
    <w:tmpl w:val="2DE2BFC4"/>
    <w:numStyleLink w:val="Conlettere"/>
  </w:abstractNum>
  <w:abstractNum w:abstractNumId="3" w15:restartNumberingAfterBreak="0">
    <w:nsid w:val="538C5C17"/>
    <w:multiLevelType w:val="hybridMultilevel"/>
    <w:tmpl w:val="44803F64"/>
    <w:styleLink w:val="Puntielenco"/>
    <w:lvl w:ilvl="0" w:tplc="3A80A3A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6B96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A37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9C9AA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26BA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E84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4A5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28D26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22C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39947169">
    <w:abstractNumId w:val="0"/>
  </w:num>
  <w:num w:numId="2" w16cid:durableId="129710440">
    <w:abstractNumId w:val="2"/>
  </w:num>
  <w:num w:numId="3" w16cid:durableId="1421754762">
    <w:abstractNumId w:val="2"/>
    <w:lvlOverride w:ilvl="0">
      <w:lvl w:ilvl="0" w:tplc="25FC812E">
        <w:start w:val="1"/>
        <w:numFmt w:val="decimal"/>
        <w:lvlText w:val="%1)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724A5E">
        <w:start w:val="1"/>
        <w:numFmt w:val="decimal"/>
        <w:lvlText w:val="%2)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A4ECBE">
        <w:start w:val="1"/>
        <w:numFmt w:val="decimal"/>
        <w:lvlText w:val="%3)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ACF3DC">
        <w:start w:val="1"/>
        <w:numFmt w:val="decimal"/>
        <w:lvlText w:val="%4)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7269F4">
        <w:start w:val="1"/>
        <w:numFmt w:val="decimal"/>
        <w:lvlText w:val="%5)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C42AEE">
        <w:start w:val="1"/>
        <w:numFmt w:val="decimal"/>
        <w:lvlText w:val="%6)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363998">
        <w:start w:val="1"/>
        <w:numFmt w:val="decimal"/>
        <w:lvlText w:val="%7)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43216">
        <w:start w:val="1"/>
        <w:numFmt w:val="decimal"/>
        <w:lvlText w:val="%8)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6A1AF4">
        <w:start w:val="1"/>
        <w:numFmt w:val="decimal"/>
        <w:lvlText w:val="%9)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13627376">
    <w:abstractNumId w:val="3"/>
  </w:num>
  <w:num w:numId="5" w16cid:durableId="202335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87"/>
    <w:rsid w:val="00011F96"/>
    <w:rsid w:val="0007017B"/>
    <w:rsid w:val="00277B06"/>
    <w:rsid w:val="002C29B0"/>
    <w:rsid w:val="002D6CAE"/>
    <w:rsid w:val="003D4046"/>
    <w:rsid w:val="00566CBD"/>
    <w:rsid w:val="00582C79"/>
    <w:rsid w:val="00594187"/>
    <w:rsid w:val="00641FDC"/>
    <w:rsid w:val="0065234D"/>
    <w:rsid w:val="00664786"/>
    <w:rsid w:val="0083074E"/>
    <w:rsid w:val="008F56E5"/>
    <w:rsid w:val="00A64E5B"/>
    <w:rsid w:val="00AA66D8"/>
    <w:rsid w:val="00AD68D5"/>
    <w:rsid w:val="00B71B01"/>
    <w:rsid w:val="00C5641B"/>
    <w:rsid w:val="00CA63F3"/>
    <w:rsid w:val="00ED440A"/>
    <w:rsid w:val="00F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078"/>
  <w15:docId w15:val="{41F88536-FEEE-8544-8879-DAAB8545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numbering" w:customStyle="1" w:styleId="Conlettere">
    <w:name w:val="Con lettere"/>
    <w:pPr>
      <w:numPr>
        <w:numId w:val="1"/>
      </w:numPr>
    </w:p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Puntielenco">
    <w:name w:val="Punti elenco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71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.campuslingue@univ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e.it/pag/15768/" TargetMode="External"/><Relationship Id="rId12" Type="http://schemas.openxmlformats.org/officeDocument/2006/relationships/hyperlink" Target="https://www.unive.it/web/it/10571/opinioni-sul-corso-e-occupazio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rocini_ites@univ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ve.it/pag/71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e.it/pag/713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</cp:lastModifiedBy>
  <cp:revision>10</cp:revision>
  <dcterms:created xsi:type="dcterms:W3CDTF">2024-03-12T21:07:00Z</dcterms:created>
  <dcterms:modified xsi:type="dcterms:W3CDTF">2025-12-16T09:11:00Z</dcterms:modified>
</cp:coreProperties>
</file>